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D4A5" w14:textId="42EFE0F7" w:rsidR="00D7107A" w:rsidRDefault="00D7107A" w:rsidP="00D7107A">
      <w:pPr>
        <w:pStyle w:val="Antrat1"/>
        <w:jc w:val="right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Pro</w:t>
      </w:r>
      <w:r w:rsidR="00974AF5">
        <w:rPr>
          <w:color w:val="000000" w:themeColor="text1"/>
          <w:sz w:val="24"/>
          <w:szCs w:val="24"/>
          <w:lang w:val="lt-LT"/>
        </w:rPr>
        <w:t>jek</w:t>
      </w:r>
      <w:r>
        <w:rPr>
          <w:color w:val="000000" w:themeColor="text1"/>
          <w:sz w:val="24"/>
          <w:szCs w:val="24"/>
          <w:lang w:val="lt-LT"/>
        </w:rPr>
        <w:t>tas</w:t>
      </w:r>
    </w:p>
    <w:p w14:paraId="7A3F25A7" w14:textId="25E45F54" w:rsidR="006A074C" w:rsidRPr="006A074C" w:rsidRDefault="00402AA9" w:rsidP="00402AA9">
      <w:pPr>
        <w:pStyle w:val="Antrat1"/>
        <w:jc w:val="center"/>
        <w:rPr>
          <w:color w:val="000000" w:themeColor="text1"/>
          <w:sz w:val="24"/>
          <w:szCs w:val="24"/>
          <w:lang w:val="lt-LT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5BAB9D1A" wp14:editId="61B6E0DC">
            <wp:extent cx="542925" cy="697230"/>
            <wp:effectExtent l="0" t="0" r="9525" b="762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3FC6" w14:textId="77777777" w:rsidR="00402AA9" w:rsidRDefault="00402AA9" w:rsidP="00402AA9">
      <w:pPr>
        <w:pStyle w:val="Antrat1"/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63946CC7" w14:textId="77777777" w:rsidR="006A074C" w:rsidRPr="006A074C" w:rsidRDefault="006A074C" w:rsidP="00402AA9">
      <w:pPr>
        <w:pStyle w:val="Antrat1"/>
        <w:jc w:val="center"/>
        <w:rPr>
          <w:b/>
          <w:color w:val="000000" w:themeColor="text1"/>
          <w:sz w:val="24"/>
          <w:szCs w:val="24"/>
          <w:lang w:val="lt-LT"/>
        </w:rPr>
      </w:pPr>
      <w:r w:rsidRPr="006A074C">
        <w:rPr>
          <w:b/>
          <w:color w:val="000000" w:themeColor="text1"/>
          <w:sz w:val="24"/>
          <w:szCs w:val="24"/>
          <w:lang w:val="lt-LT"/>
        </w:rPr>
        <w:t>ROKIŠKIO RAJONO SAVIVALDYBĖS TARYBA</w:t>
      </w:r>
    </w:p>
    <w:p w14:paraId="4529EF89" w14:textId="77777777" w:rsidR="00402AA9" w:rsidRDefault="00402AA9" w:rsidP="00402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4CB5E5" w14:textId="77777777" w:rsidR="00402AA9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SPRENDIMAS</w:t>
      </w:r>
    </w:p>
    <w:p w14:paraId="0CAED6D7" w14:textId="25EB1A30" w:rsidR="006A074C" w:rsidRPr="006A074C" w:rsidRDefault="006A074C" w:rsidP="00C11A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DĖL </w:t>
      </w:r>
      <w:r w:rsidRPr="006A0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KAI KURIŲ ROKIŠKIO RAJONO SAVIVALDYBĖS TARYBOS SPRENDIMŲ PRIPAŽINIMO NETEKUSIAIS GALIOS</w:t>
      </w:r>
    </w:p>
    <w:p w14:paraId="2A74B259" w14:textId="77777777" w:rsidR="006A074C" w:rsidRP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ADBAB" w14:textId="77777777" w:rsidR="006A074C" w:rsidRP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2023 m. birželio 29 d. Nr. TS-</w:t>
      </w:r>
    </w:p>
    <w:p w14:paraId="21FA1912" w14:textId="77777777" w:rsidR="006A074C" w:rsidRP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Rokiškis</w:t>
      </w:r>
    </w:p>
    <w:p w14:paraId="12A09B3D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02284" w14:textId="77777777" w:rsidR="006A074C" w:rsidRPr="006A074C" w:rsidRDefault="006A074C" w:rsidP="00974A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taryba n u s p r e n d ž i a:</w:t>
      </w:r>
    </w:p>
    <w:p w14:paraId="06E8F401" w14:textId="77777777" w:rsidR="006A074C" w:rsidRPr="006A074C" w:rsidRDefault="006A074C" w:rsidP="00974AF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Pripažinti netekusiais galios:</w:t>
      </w:r>
    </w:p>
    <w:p w14:paraId="31E579DE" w14:textId="2885B549" w:rsidR="006A074C" w:rsidRDefault="006A074C" w:rsidP="004762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Rokiškio rajono savivaldybės tarybos 2003 m.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balandžio 25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pareiginės algos nustatymo rajono merui ir mero pavaduotojui“;</w:t>
      </w:r>
    </w:p>
    <w:p w14:paraId="1C13868A" w14:textId="6635E53E" w:rsidR="00402AA9" w:rsidRDefault="00402AA9" w:rsidP="004762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sausio 30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mero ir mero pavaduotojo atlyginimų koeficientų“;</w:t>
      </w:r>
    </w:p>
    <w:p w14:paraId="3CA85B95" w14:textId="3BB7ECB5" w:rsidR="00402AA9" w:rsidRDefault="00402AA9" w:rsidP="004762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balandžio 26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TS-6.73 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„Dėl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pareiginės algos nustatymo rajono savivaldybės  merui ir rajono savivaldybės mero pavaduotojui“;</w:t>
      </w:r>
    </w:p>
    <w:p w14:paraId="4B8119A2" w14:textId="226361B8" w:rsidR="006A074C" w:rsidRPr="006A074C" w:rsidRDefault="006A074C" w:rsidP="004762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gegužės 6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Nr. TS-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7.116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pareiginės algos koeficiento savivaldybės merui ir mero pavaduotojui“ su visais pakeitimais ir papildymais;</w:t>
      </w:r>
    </w:p>
    <w:p w14:paraId="32C1297A" w14:textId="700E2E07" w:rsidR="006A074C" w:rsidRPr="006A074C" w:rsidRDefault="006A074C" w:rsidP="0047626F">
      <w:pPr>
        <w:spacing w:after="0" w:line="240" w:lineRule="auto"/>
        <w:ind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201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sausio 31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TS-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</w:t>
      </w:r>
      <w:r w:rsidR="00402AA9">
        <w:rPr>
          <w:rFonts w:ascii="Times New Roman" w:hAnsi="Times New Roman" w:cs="Times New Roman"/>
          <w:color w:val="000000" w:themeColor="text1"/>
          <w:sz w:val="24"/>
          <w:szCs w:val="24"/>
        </w:rPr>
        <w:t>pareiginės algos koeficiento nustatymo savivaldybės merui ir mero pavaduotojui“;</w:t>
      </w:r>
    </w:p>
    <w:p w14:paraId="3E50BB40" w14:textId="77777777" w:rsidR="00402AA9" w:rsidRPr="006A074C" w:rsidRDefault="00402AA9" w:rsidP="0047626F">
      <w:pPr>
        <w:spacing w:after="0" w:line="240" w:lineRule="auto"/>
        <w:ind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sausio 31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TS-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„Dėl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pareiginės algos koeficiento nustatymo savivaldybės merui ir mero pavaduotojui“;</w:t>
      </w:r>
    </w:p>
    <w:p w14:paraId="51165F0E" w14:textId="4CC8CBA6" w:rsidR="00402AA9" w:rsidRPr="006A074C" w:rsidRDefault="00402AA9" w:rsidP="0047626F">
      <w:pPr>
        <w:spacing w:after="0" w:line="240" w:lineRule="auto"/>
        <w:ind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gegužės 8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TS-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120 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„Dėl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mero pareiginės algos nustatymo“;</w:t>
      </w:r>
    </w:p>
    <w:p w14:paraId="2DEB7EDB" w14:textId="68925BF1" w:rsidR="00402AA9" w:rsidRPr="006A074C" w:rsidRDefault="00402AA9" w:rsidP="0047626F">
      <w:pPr>
        <w:spacing w:after="0" w:line="240" w:lineRule="auto"/>
        <w:ind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tarybos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gegužės 8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sprendimą Nr. TS-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121 „Dėl Rokiškio rajono savivaldybės mero pavaduotojo pareiginės algos nustatymo“.</w:t>
      </w:r>
    </w:p>
    <w:p w14:paraId="3E6E53A7" w14:textId="77777777" w:rsidR="00402AA9" w:rsidRPr="006A074C" w:rsidRDefault="00402AA9" w:rsidP="00974A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986C8" w14:textId="77777777" w:rsidR="00402AA9" w:rsidRPr="006A074C" w:rsidRDefault="00402AA9" w:rsidP="00974A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C506E" w14:textId="77777777" w:rsidR="00402AA9" w:rsidRPr="006A074C" w:rsidRDefault="00402AA9" w:rsidP="00974A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FBD5B" w14:textId="5171C366" w:rsidR="006A074C" w:rsidRPr="006A074C" w:rsidRDefault="006A074C" w:rsidP="00476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Savivaldybės meras </w:t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Ramūnas </w:t>
      </w:r>
      <w:proofErr w:type="spellStart"/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Godeliauskas</w:t>
      </w:r>
      <w:proofErr w:type="spellEnd"/>
    </w:p>
    <w:p w14:paraId="09E01977" w14:textId="77777777" w:rsidR="006A074C" w:rsidRPr="006A074C" w:rsidRDefault="006A074C" w:rsidP="00974AF5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D8FB1" w14:textId="77777777" w:rsidR="006A074C" w:rsidRPr="006A074C" w:rsidRDefault="006A074C" w:rsidP="00974AF5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E729C" w14:textId="77777777" w:rsidR="006A074C" w:rsidRPr="006A074C" w:rsidRDefault="006A074C" w:rsidP="00974AF5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FA783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A0216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EFA5B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75244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BF967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BEA9D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46F2A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CD300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C647A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F99A5" w14:textId="57839F9C" w:rsid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Regina </w:t>
      </w:r>
      <w:proofErr w:type="spellStart"/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Strumskienė</w:t>
      </w:r>
      <w:proofErr w:type="spellEnd"/>
    </w:p>
    <w:p w14:paraId="094E29B3" w14:textId="77777777" w:rsidR="0047626F" w:rsidRDefault="0047626F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87ECF" w14:textId="77777777" w:rsidR="0047626F" w:rsidRPr="00974AF5" w:rsidRDefault="0047626F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5F274" w14:textId="77777777" w:rsidR="006A074C" w:rsidRP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SPRENDIMO PROJEKTO</w:t>
      </w:r>
    </w:p>
    <w:p w14:paraId="72435017" w14:textId="77777777" w:rsid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DĖL </w:t>
      </w:r>
      <w:r w:rsidRPr="006A0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KAI KURIŲ ROKIŠKIO RAJONO SAVIVALDYBĖS TARYBOS SPRENDIMŲ PRIPAŽINIMO NETEKUSIAIS GALIOS</w:t>
      </w:r>
    </w:p>
    <w:p w14:paraId="7E2967BC" w14:textId="215F6315" w:rsidR="0047626F" w:rsidRDefault="0047626F" w:rsidP="00402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AIŠKINAMASIS RAŠTAS</w:t>
      </w:r>
    </w:p>
    <w:p w14:paraId="49DE8CA2" w14:textId="77777777" w:rsidR="0047626F" w:rsidRPr="006A074C" w:rsidRDefault="0047626F" w:rsidP="00402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646E2E" w14:textId="77777777" w:rsidR="006A074C" w:rsidRPr="006A074C" w:rsidRDefault="006A074C" w:rsidP="00402AA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2023 m. birželio 29 d.</w:t>
      </w:r>
    </w:p>
    <w:p w14:paraId="76E39CDF" w14:textId="77777777" w:rsid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6F7A2" w14:textId="77777777" w:rsidR="0047626F" w:rsidRPr="006A074C" w:rsidRDefault="0047626F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5FFC4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Projekto rengėjas – Regina Strumskienė, Teisės ir personalo skyriaus vedėja</w:t>
      </w:r>
    </w:p>
    <w:p w14:paraId="2231B349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74C">
        <w:rPr>
          <w:rFonts w:ascii="Times New Roman" w:hAnsi="Times New Roman" w:cs="Times New Roman"/>
          <w:color w:val="000000" w:themeColor="text1"/>
          <w:sz w:val="24"/>
          <w:szCs w:val="24"/>
        </w:rPr>
        <w:t>Pranešėjas komitetų ir Tarybos posėdžiuose – Regina Strumskienė, Teisės ir personalo skyriaus vedėja</w:t>
      </w:r>
    </w:p>
    <w:p w14:paraId="67B7AA05" w14:textId="77777777" w:rsidR="006A074C" w:rsidRPr="006A074C" w:rsidRDefault="006A074C" w:rsidP="00402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6A074C" w:rsidRPr="006A074C" w14:paraId="0262C9CD" w14:textId="77777777" w:rsidTr="00503343">
        <w:tc>
          <w:tcPr>
            <w:tcW w:w="396" w:type="dxa"/>
          </w:tcPr>
          <w:p w14:paraId="0C026BFE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53F5B182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Sprendimo projekto tikslas ir uždaviniai</w:t>
            </w:r>
          </w:p>
          <w:p w14:paraId="1114F55A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6C152614" w14:textId="77777777" w:rsidR="006A074C" w:rsidRPr="006A074C" w:rsidRDefault="006A074C" w:rsidP="00402A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Pripažinti netekusiais galios praradusius aktualumą teisės aktus</w:t>
            </w:r>
          </w:p>
        </w:tc>
      </w:tr>
      <w:tr w:rsidR="006A074C" w:rsidRPr="006A074C" w14:paraId="013CD6ED" w14:textId="77777777" w:rsidTr="00503343">
        <w:trPr>
          <w:trHeight w:val="1498"/>
        </w:trPr>
        <w:tc>
          <w:tcPr>
            <w:tcW w:w="396" w:type="dxa"/>
          </w:tcPr>
          <w:p w14:paraId="22E46CC1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302CF332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477A8FCB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nuostatos</w:t>
            </w:r>
          </w:p>
          <w:p w14:paraId="43EB354A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  <w:p w14:paraId="316829DB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  <w:p w14:paraId="041A8576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EBD9D" w14:textId="63C604C9" w:rsidR="006A074C" w:rsidRPr="006A074C" w:rsidRDefault="006A074C" w:rsidP="00402A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Lietuvos Respublikos vietos savivaldos įstatymas, galiojęs iki 2023 m. balandžio 1 d. numatė vieną iš savivaldybės tarybos išimtinių kompetencijų – </w:t>
            </w:r>
            <w:r w:rsidR="00402AA9">
              <w:rPr>
                <w:color w:val="000000" w:themeColor="text1"/>
                <w:sz w:val="24"/>
                <w:szCs w:val="24"/>
              </w:rPr>
              <w:t xml:space="preserve">pareiginės algos dydžio nustatymą Savivaldybės </w:t>
            </w:r>
            <w:r w:rsidRPr="006A074C">
              <w:rPr>
                <w:color w:val="000000" w:themeColor="text1"/>
                <w:sz w:val="24"/>
                <w:szCs w:val="24"/>
              </w:rPr>
              <w:t>mer</w:t>
            </w:r>
            <w:r w:rsidR="00402AA9">
              <w:rPr>
                <w:color w:val="000000" w:themeColor="text1"/>
                <w:sz w:val="24"/>
                <w:szCs w:val="24"/>
              </w:rPr>
              <w:t>ui ir Savivaldybės mero</w:t>
            </w:r>
            <w:r w:rsidRPr="006A074C">
              <w:rPr>
                <w:color w:val="000000" w:themeColor="text1"/>
                <w:sz w:val="24"/>
                <w:szCs w:val="24"/>
              </w:rPr>
              <w:t xml:space="preserve"> pavaduotoj</w:t>
            </w:r>
            <w:r w:rsidR="00402AA9">
              <w:rPr>
                <w:color w:val="000000" w:themeColor="text1"/>
                <w:sz w:val="24"/>
                <w:szCs w:val="24"/>
              </w:rPr>
              <w:t xml:space="preserve">ui. </w:t>
            </w:r>
            <w:r w:rsidRPr="006A074C">
              <w:rPr>
                <w:color w:val="000000" w:themeColor="text1"/>
                <w:sz w:val="24"/>
                <w:szCs w:val="24"/>
              </w:rPr>
              <w:t xml:space="preserve">Pasikeitus Lietuvos Respublikos vietos savivaldos įstatymui tokios savivaldybės tarybos išimtinės kompetencijos neliko. Kadangi Vicemeras yra mero asmeninio (politinio) pasitikėjimo valstybės tarnautojas, </w:t>
            </w:r>
            <w:r w:rsidR="00D7107A">
              <w:rPr>
                <w:color w:val="000000" w:themeColor="text1"/>
                <w:sz w:val="24"/>
                <w:szCs w:val="24"/>
              </w:rPr>
              <w:t>jam pareiginės algos koeficientą nustato Savivaldybės meras kaip numatyta Lietuvos Respublikos valstybės tarnybos į</w:t>
            </w:r>
            <w:bookmarkStart w:id="0" w:name="part_7c9f55a034ae4e6f8e7ed9852b5231df"/>
            <w:bookmarkStart w:id="1" w:name="part_ae90b178c04d4b7fa17dfe482bbdb73c"/>
            <w:bookmarkEnd w:id="0"/>
            <w:bookmarkEnd w:id="1"/>
            <w:r w:rsidR="00D7107A">
              <w:rPr>
                <w:color w:val="000000" w:themeColor="text1"/>
                <w:sz w:val="24"/>
                <w:szCs w:val="24"/>
              </w:rPr>
              <w:t>statyme. Savivaldybės mero pareiginės algos dydis nustatytas Lietuvos respublikos valstybės politikų darbo užmokesčio įstatymu.</w:t>
            </w:r>
          </w:p>
        </w:tc>
      </w:tr>
      <w:tr w:rsidR="006A074C" w:rsidRPr="006A074C" w14:paraId="3BF55F54" w14:textId="77777777" w:rsidTr="00503343">
        <w:tc>
          <w:tcPr>
            <w:tcW w:w="396" w:type="dxa"/>
          </w:tcPr>
          <w:p w14:paraId="160DFFFE" w14:textId="7A4EA1D1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3222681A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Laukiami rezultatai</w:t>
            </w:r>
          </w:p>
          <w:p w14:paraId="6D006E98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449FA7CE" w14:textId="27844CB6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rFonts w:eastAsia="TimesNewRomanPSMT"/>
                <w:sz w:val="24"/>
                <w:szCs w:val="24"/>
              </w:rPr>
              <w:t>Pripažinti netekusiais galios neaktualūs, nebetaikytini Rokiškio rajono savivaldybės tarybos 2003-201</w:t>
            </w:r>
            <w:r w:rsidR="00D7107A">
              <w:rPr>
                <w:rFonts w:eastAsia="TimesNewRomanPSMT"/>
                <w:sz w:val="24"/>
                <w:szCs w:val="24"/>
              </w:rPr>
              <w:t>5</w:t>
            </w:r>
            <w:r w:rsidRPr="006A074C">
              <w:rPr>
                <w:rFonts w:eastAsia="TimesNewRomanPSMT"/>
                <w:sz w:val="24"/>
                <w:szCs w:val="24"/>
              </w:rPr>
              <w:t xml:space="preserve"> m. sprendimai </w:t>
            </w:r>
          </w:p>
        </w:tc>
      </w:tr>
      <w:tr w:rsidR="006A074C" w:rsidRPr="006A074C" w14:paraId="44915BF3" w14:textId="77777777" w:rsidTr="00503343">
        <w:tc>
          <w:tcPr>
            <w:tcW w:w="396" w:type="dxa"/>
          </w:tcPr>
          <w:p w14:paraId="4F56FD05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57358B0C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Lėšų poreikis ir šaltiniai</w:t>
            </w:r>
          </w:p>
          <w:p w14:paraId="3C242A38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  <w:p w14:paraId="5A271F97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29F3CB2F" w14:textId="77777777" w:rsidR="006A074C" w:rsidRPr="006A074C" w:rsidRDefault="006A074C" w:rsidP="00402A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Papildomų lėšų nereikės</w:t>
            </w:r>
          </w:p>
          <w:p w14:paraId="08C69010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A074C" w:rsidRPr="006A074C" w14:paraId="3ED24A6E" w14:textId="77777777" w:rsidTr="00503343">
        <w:tc>
          <w:tcPr>
            <w:tcW w:w="396" w:type="dxa"/>
          </w:tcPr>
          <w:p w14:paraId="17816494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59FC3970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3C3455F4" w14:textId="77777777" w:rsidR="006A074C" w:rsidRPr="006A074C" w:rsidRDefault="006A074C" w:rsidP="00402A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6A074C" w:rsidRPr="006A074C" w14:paraId="2B74D519" w14:textId="77777777" w:rsidTr="00503343">
        <w:tc>
          <w:tcPr>
            <w:tcW w:w="396" w:type="dxa"/>
          </w:tcPr>
          <w:p w14:paraId="247E412B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1A96D4FB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27756A2A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  <w:p w14:paraId="5E76A3F3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087C8130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Nėra.</w:t>
            </w:r>
          </w:p>
        </w:tc>
      </w:tr>
      <w:tr w:rsidR="006A074C" w:rsidRPr="006A074C" w14:paraId="742A3AC2" w14:textId="77777777" w:rsidTr="00503343">
        <w:tc>
          <w:tcPr>
            <w:tcW w:w="396" w:type="dxa"/>
          </w:tcPr>
          <w:p w14:paraId="3C1FDE93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2DAA739D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Sprendimo projekto lyginamasis variantas (jeigu teikiamas sprendimo pakeitimo projektas)</w:t>
            </w:r>
          </w:p>
          <w:p w14:paraId="7F220913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2" w:type="dxa"/>
          </w:tcPr>
          <w:p w14:paraId="57C32333" w14:textId="77777777" w:rsidR="006A074C" w:rsidRPr="006A074C" w:rsidRDefault="006A074C" w:rsidP="00402AA9">
            <w:pPr>
              <w:rPr>
                <w:color w:val="000000" w:themeColor="text1"/>
                <w:sz w:val="24"/>
                <w:szCs w:val="24"/>
              </w:rPr>
            </w:pPr>
            <w:r w:rsidRPr="006A074C">
              <w:rPr>
                <w:color w:val="000000" w:themeColor="text1"/>
                <w:sz w:val="24"/>
                <w:szCs w:val="24"/>
              </w:rPr>
              <w:t>Nėra.</w:t>
            </w:r>
          </w:p>
        </w:tc>
      </w:tr>
    </w:tbl>
    <w:p w14:paraId="38C33B35" w14:textId="77777777" w:rsidR="004265CA" w:rsidRPr="006A074C" w:rsidRDefault="004265CA" w:rsidP="0097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65CA" w:rsidRPr="006A074C" w:rsidSect="0047626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51"/>
    <w:rsid w:val="000248C3"/>
    <w:rsid w:val="000B6511"/>
    <w:rsid w:val="001B5C22"/>
    <w:rsid w:val="002260A4"/>
    <w:rsid w:val="00231EED"/>
    <w:rsid w:val="002335DE"/>
    <w:rsid w:val="003E112D"/>
    <w:rsid w:val="00402AA9"/>
    <w:rsid w:val="004265CA"/>
    <w:rsid w:val="00465FE4"/>
    <w:rsid w:val="0047626F"/>
    <w:rsid w:val="006A074C"/>
    <w:rsid w:val="008E2BD8"/>
    <w:rsid w:val="00940913"/>
    <w:rsid w:val="00974AF5"/>
    <w:rsid w:val="00A10F51"/>
    <w:rsid w:val="00A142A7"/>
    <w:rsid w:val="00AA2F01"/>
    <w:rsid w:val="00C11ABC"/>
    <w:rsid w:val="00CB5644"/>
    <w:rsid w:val="00D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B17"/>
  <w15:docId w15:val="{697D78E1-79DB-4850-90E4-9F79F768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6A07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10F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10F51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uiPriority w:val="99"/>
    <w:qFormat/>
    <w:rsid w:val="004265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4265CA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6A074C"/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6A07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A074C"/>
    <w:rPr>
      <w:rFonts w:ascii="Times New Roman" w:eastAsia="Times New Roman" w:hAnsi="Times New Roman" w:cs="Times New Roman"/>
      <w:sz w:val="28"/>
      <w:szCs w:val="20"/>
      <w:lang w:eastAsia="lt-LT"/>
    </w:rPr>
  </w:style>
  <w:style w:type="table" w:styleId="Lentelstinklelis">
    <w:name w:val="Table Grid"/>
    <w:basedOn w:val="prastojilentel"/>
    <w:rsid w:val="006A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Seniunas</dc:creator>
  <cp:lastModifiedBy>Rasa Virbalienė</cp:lastModifiedBy>
  <cp:revision>3</cp:revision>
  <cp:lastPrinted>2023-06-15T10:29:00Z</cp:lastPrinted>
  <dcterms:created xsi:type="dcterms:W3CDTF">2023-06-20T07:14:00Z</dcterms:created>
  <dcterms:modified xsi:type="dcterms:W3CDTF">2023-06-20T07:19:00Z</dcterms:modified>
</cp:coreProperties>
</file>